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F2" w:rsidRPr="005152F2" w:rsidRDefault="005152F2" w:rsidP="00BE6784">
      <w:pPr>
        <w:jc w:val="center"/>
        <w:rPr>
          <w:rFonts w:ascii="Arial" w:hAnsi="Arial" w:cs="Arial"/>
          <w:lang w:val="mn-MN"/>
        </w:rPr>
      </w:pPr>
      <w:r w:rsidRPr="005152F2">
        <w:rPr>
          <w:rFonts w:ascii="Arial" w:hAnsi="Arial" w:cs="Arial"/>
          <w:lang w:val="mn-MN"/>
        </w:rPr>
        <w:t xml:space="preserve">ГОВЬСҮМБЭР АЙМГИЙН МЭРГЭЖЛИЙН ХЯНАЛТЫН ГАЗАР </w:t>
      </w:r>
    </w:p>
    <w:p w:rsidR="004A7FB4" w:rsidRPr="005152F2" w:rsidRDefault="00BE6784" w:rsidP="00BE6784">
      <w:pPr>
        <w:jc w:val="center"/>
        <w:rPr>
          <w:rFonts w:ascii="Arial" w:hAnsi="Arial" w:cs="Arial"/>
          <w:lang w:val="mn-MN"/>
        </w:rPr>
      </w:pPr>
      <w:r w:rsidRPr="005152F2">
        <w:rPr>
          <w:rFonts w:ascii="Arial" w:hAnsi="Arial" w:cs="Arial"/>
          <w:lang w:val="mn-MN"/>
        </w:rPr>
        <w:t>ЗӨРЧЛИЙН ТУХАЙ ХУУЛИЙН ШИНЭЧИЛСЭН НАЙРУУЛГЫН ТӨСӨЛД ӨГӨХ САНАЛ</w:t>
      </w:r>
    </w:p>
    <w:tbl>
      <w:tblPr>
        <w:tblStyle w:val="TableGrid"/>
        <w:tblW w:w="0" w:type="auto"/>
        <w:tblLook w:val="04A0" w:firstRow="1" w:lastRow="0" w:firstColumn="1" w:lastColumn="0" w:noHBand="0" w:noVBand="1"/>
      </w:tblPr>
      <w:tblGrid>
        <w:gridCol w:w="704"/>
        <w:gridCol w:w="4394"/>
        <w:gridCol w:w="4614"/>
        <w:gridCol w:w="3238"/>
      </w:tblGrid>
      <w:tr w:rsidR="00BE6784" w:rsidRPr="005152F2" w:rsidTr="005152F2">
        <w:tc>
          <w:tcPr>
            <w:tcW w:w="704" w:type="dxa"/>
          </w:tcPr>
          <w:p w:rsidR="00BE6784" w:rsidRPr="005152F2" w:rsidRDefault="00BE6784" w:rsidP="005152F2">
            <w:pPr>
              <w:rPr>
                <w:rFonts w:ascii="Arial" w:hAnsi="Arial" w:cs="Arial"/>
                <w:sz w:val="20"/>
                <w:szCs w:val="20"/>
                <w:lang w:val="mn-MN"/>
              </w:rPr>
            </w:pPr>
            <w:r w:rsidRPr="005152F2">
              <w:rPr>
                <w:rFonts w:ascii="Arial" w:hAnsi="Arial" w:cs="Arial"/>
                <w:sz w:val="20"/>
                <w:szCs w:val="20"/>
                <w:lang w:val="mn-MN"/>
              </w:rPr>
              <w:t>№</w:t>
            </w:r>
          </w:p>
        </w:tc>
        <w:tc>
          <w:tcPr>
            <w:tcW w:w="4394" w:type="dxa"/>
          </w:tcPr>
          <w:p w:rsidR="00BE6784" w:rsidRPr="005152F2" w:rsidRDefault="00BE6784" w:rsidP="005152F2">
            <w:pPr>
              <w:rPr>
                <w:rFonts w:ascii="Arial" w:hAnsi="Arial" w:cs="Arial"/>
                <w:sz w:val="20"/>
                <w:szCs w:val="20"/>
                <w:lang w:val="mn-MN"/>
              </w:rPr>
            </w:pPr>
            <w:r w:rsidRPr="005152F2">
              <w:rPr>
                <w:rFonts w:ascii="Arial" w:hAnsi="Arial" w:cs="Arial"/>
                <w:sz w:val="20"/>
                <w:szCs w:val="20"/>
                <w:lang w:val="mn-MN"/>
              </w:rPr>
              <w:t xml:space="preserve">Зөрчлийн тухай хуулийн шинэчилсэн найруулгын төслийн зүйл, хэсэг, заалт, </w:t>
            </w:r>
            <w:r w:rsidRPr="005152F2">
              <w:rPr>
                <w:rFonts w:ascii="Arial" w:hAnsi="Arial" w:cs="Arial"/>
                <w:sz w:val="20"/>
                <w:szCs w:val="20"/>
              </w:rPr>
              <w:t>(</w:t>
            </w:r>
            <w:r w:rsidRPr="005152F2">
              <w:rPr>
                <w:rFonts w:ascii="Arial" w:hAnsi="Arial" w:cs="Arial"/>
                <w:sz w:val="20"/>
                <w:szCs w:val="20"/>
                <w:lang w:val="mn-MN"/>
              </w:rPr>
              <w:t>тодорхой бичиг</w:t>
            </w:r>
            <w:r w:rsidRPr="005152F2">
              <w:rPr>
                <w:rFonts w:ascii="Arial" w:hAnsi="Arial" w:cs="Arial"/>
                <w:sz w:val="20"/>
                <w:szCs w:val="20"/>
              </w:rPr>
              <w:t>)</w:t>
            </w:r>
          </w:p>
        </w:tc>
        <w:tc>
          <w:tcPr>
            <w:tcW w:w="4614" w:type="dxa"/>
          </w:tcPr>
          <w:p w:rsidR="00BE6784" w:rsidRPr="005152F2" w:rsidRDefault="00BE6784" w:rsidP="005152F2">
            <w:pPr>
              <w:rPr>
                <w:rFonts w:ascii="Arial" w:hAnsi="Arial" w:cs="Arial"/>
                <w:sz w:val="20"/>
                <w:szCs w:val="20"/>
                <w:lang w:val="mn-MN"/>
              </w:rPr>
            </w:pPr>
            <w:r w:rsidRPr="005152F2">
              <w:rPr>
                <w:rFonts w:ascii="Arial" w:hAnsi="Arial" w:cs="Arial"/>
                <w:sz w:val="20"/>
                <w:szCs w:val="20"/>
                <w:lang w:val="mn-MN"/>
              </w:rPr>
              <w:t xml:space="preserve">Нэмэх, хасах, найруулах саналууд </w:t>
            </w:r>
            <w:r w:rsidRPr="005152F2">
              <w:rPr>
                <w:rFonts w:ascii="Arial" w:hAnsi="Arial" w:cs="Arial"/>
                <w:sz w:val="20"/>
                <w:szCs w:val="20"/>
              </w:rPr>
              <w:t>(</w:t>
            </w:r>
            <w:r w:rsidRPr="005152F2">
              <w:rPr>
                <w:rFonts w:ascii="Arial" w:hAnsi="Arial" w:cs="Arial"/>
                <w:sz w:val="20"/>
                <w:szCs w:val="20"/>
                <w:lang w:val="mn-MN"/>
              </w:rPr>
              <w:t>тодорхой бичих</w:t>
            </w:r>
            <w:r w:rsidRPr="005152F2">
              <w:rPr>
                <w:rFonts w:ascii="Arial" w:hAnsi="Arial" w:cs="Arial"/>
                <w:sz w:val="20"/>
                <w:szCs w:val="20"/>
              </w:rPr>
              <w:t>)</w:t>
            </w:r>
          </w:p>
        </w:tc>
        <w:tc>
          <w:tcPr>
            <w:tcW w:w="3238" w:type="dxa"/>
          </w:tcPr>
          <w:p w:rsidR="00BE6784" w:rsidRPr="005152F2" w:rsidRDefault="00BE6784" w:rsidP="005152F2">
            <w:pPr>
              <w:rPr>
                <w:rFonts w:ascii="Arial" w:hAnsi="Arial" w:cs="Arial"/>
                <w:sz w:val="20"/>
                <w:szCs w:val="20"/>
                <w:lang w:val="mn-MN"/>
              </w:rPr>
            </w:pPr>
            <w:r w:rsidRPr="005152F2">
              <w:rPr>
                <w:rFonts w:ascii="Arial" w:hAnsi="Arial" w:cs="Arial"/>
                <w:sz w:val="20"/>
                <w:szCs w:val="20"/>
                <w:lang w:val="mn-MN"/>
              </w:rPr>
              <w:t>Үндэслэл, тайлбар</w:t>
            </w:r>
          </w:p>
        </w:tc>
      </w:tr>
      <w:tr w:rsidR="000F6443" w:rsidRPr="005152F2" w:rsidTr="005152F2">
        <w:tc>
          <w:tcPr>
            <w:tcW w:w="704" w:type="dxa"/>
          </w:tcPr>
          <w:p w:rsidR="000F6443" w:rsidRPr="005152F2" w:rsidRDefault="000F6443" w:rsidP="005152F2">
            <w:pPr>
              <w:rPr>
                <w:rFonts w:ascii="Arial" w:hAnsi="Arial" w:cs="Arial"/>
                <w:sz w:val="20"/>
                <w:szCs w:val="20"/>
                <w:lang w:val="mn-MN"/>
              </w:rPr>
            </w:pPr>
            <w:r w:rsidRPr="005152F2">
              <w:rPr>
                <w:rFonts w:ascii="Arial" w:hAnsi="Arial" w:cs="Arial"/>
                <w:sz w:val="20"/>
                <w:szCs w:val="20"/>
                <w:lang w:val="mn-MN"/>
              </w:rPr>
              <w:t>1</w:t>
            </w:r>
          </w:p>
        </w:tc>
        <w:tc>
          <w:tcPr>
            <w:tcW w:w="4394" w:type="dxa"/>
          </w:tcPr>
          <w:p w:rsidR="000F6443" w:rsidRPr="005152F2" w:rsidRDefault="000F6443" w:rsidP="005152F2">
            <w:pPr>
              <w:pStyle w:val="NormalWeb"/>
              <w:ind w:firstLine="720"/>
              <w:jc w:val="both"/>
              <w:rPr>
                <w:rFonts w:ascii="Arial" w:hAnsi="Arial" w:cs="Arial"/>
                <w:color w:val="000000" w:themeColor="text1"/>
                <w:szCs w:val="20"/>
                <w:lang w:val="mn-MN"/>
              </w:rPr>
            </w:pPr>
            <w:r w:rsidRPr="005152F2">
              <w:rPr>
                <w:rFonts w:ascii="Arial" w:hAnsi="Arial" w:cs="Arial"/>
                <w:color w:val="000000" w:themeColor="text1"/>
                <w:szCs w:val="20"/>
                <w:lang w:val="mn-MN"/>
              </w:rPr>
              <w:t>6.3.1.Мэргэшсэн эмч, эсхүл резидент эмч, эмнэлгийн мэргэжилтэн хуульд заасан эмнэлгийн тусламж, үйлчилгээ үзүүлэх үүргээ хүндэтгэн үзэх шалтгаангүйгээр биелүүлээгүй, зохих ёсоор биелүүлээгүй нь эрүүгийн хариуцлага хүлээлгэхээргүй бол учруулсан хохирлыг төлүүлж, хор уршгийг арилгуулж, тодорхой мэргэжлийн үйл ажиллагаа явуулах эрхийг нэг жил хүртэл хугацаагаар хасаж хүнийг нэг мянган нэгжтэй тэнцэх хэмжээний төгрөгөөр торгоно</w:t>
            </w:r>
          </w:p>
        </w:tc>
        <w:tc>
          <w:tcPr>
            <w:tcW w:w="4614" w:type="dxa"/>
          </w:tcPr>
          <w:p w:rsidR="000F6443" w:rsidRPr="005152F2" w:rsidRDefault="000F6443" w:rsidP="005152F2">
            <w:pPr>
              <w:rPr>
                <w:rFonts w:ascii="Arial" w:hAnsi="Arial" w:cs="Arial"/>
                <w:sz w:val="20"/>
                <w:szCs w:val="20"/>
                <w:lang w:val="mn-MN"/>
              </w:rPr>
            </w:pPr>
            <w:r w:rsidRPr="005152F2">
              <w:rPr>
                <w:rFonts w:ascii="Arial" w:hAnsi="Arial" w:cs="Arial"/>
                <w:sz w:val="20"/>
                <w:szCs w:val="20"/>
                <w:lang w:val="mn-MN"/>
              </w:rPr>
              <w:t>“</w:t>
            </w:r>
            <w:r w:rsidRPr="005152F2">
              <w:rPr>
                <w:rFonts w:ascii="Arial" w:hAnsi="Arial" w:cs="Arial"/>
                <w:color w:val="000000" w:themeColor="text1"/>
                <w:sz w:val="20"/>
                <w:szCs w:val="20"/>
                <w:lang w:val="mn-MN"/>
              </w:rPr>
              <w:t xml:space="preserve">тодорхой мэргэжлийн үйл ажиллагаа явуулах эрхийг нэг жил хүртэл хугацаагаар хасаж” гэсэн заалтыг хасах </w:t>
            </w:r>
          </w:p>
        </w:tc>
        <w:tc>
          <w:tcPr>
            <w:tcW w:w="3238" w:type="dxa"/>
          </w:tcPr>
          <w:p w:rsidR="000F6443" w:rsidRPr="005152F2" w:rsidRDefault="000F6443" w:rsidP="005152F2">
            <w:pPr>
              <w:jc w:val="both"/>
              <w:rPr>
                <w:rFonts w:ascii="Arial" w:hAnsi="Arial" w:cs="Arial"/>
                <w:sz w:val="20"/>
                <w:szCs w:val="20"/>
                <w:lang w:val="mn-MN"/>
              </w:rPr>
            </w:pPr>
            <w:r w:rsidRPr="005152F2">
              <w:rPr>
                <w:rFonts w:ascii="Arial" w:hAnsi="Arial" w:cs="Arial"/>
                <w:sz w:val="20"/>
                <w:szCs w:val="20"/>
                <w:lang w:val="mn-MN"/>
              </w:rPr>
              <w:t xml:space="preserve">Улсын байцаагчийн эрх хмжээнд  эмч, эмнэлгийн мэргэжилтний  мэргэжлийн үйл ажиллагаа явуулах эрхийг хасах эрх байхгүй </w:t>
            </w:r>
          </w:p>
        </w:tc>
      </w:tr>
      <w:tr w:rsidR="000F6443" w:rsidRPr="005152F2" w:rsidTr="005152F2">
        <w:tc>
          <w:tcPr>
            <w:tcW w:w="704" w:type="dxa"/>
          </w:tcPr>
          <w:p w:rsidR="000F6443" w:rsidRPr="005152F2" w:rsidRDefault="000F6443" w:rsidP="005152F2">
            <w:pPr>
              <w:rPr>
                <w:rFonts w:ascii="Arial" w:hAnsi="Arial" w:cs="Arial"/>
                <w:sz w:val="20"/>
                <w:szCs w:val="20"/>
                <w:lang w:val="mn-MN"/>
              </w:rPr>
            </w:pPr>
          </w:p>
        </w:tc>
        <w:tc>
          <w:tcPr>
            <w:tcW w:w="4394" w:type="dxa"/>
          </w:tcPr>
          <w:p w:rsidR="000F6443" w:rsidRPr="005152F2" w:rsidRDefault="000F6443" w:rsidP="005152F2">
            <w:pPr>
              <w:jc w:val="both"/>
              <w:rPr>
                <w:rFonts w:ascii="Arial" w:hAnsi="Arial" w:cs="Arial"/>
                <w:color w:val="000000" w:themeColor="text1"/>
                <w:sz w:val="20"/>
                <w:szCs w:val="20"/>
                <w:lang w:val="mn-MN"/>
              </w:rPr>
            </w:pPr>
            <w:r w:rsidRPr="005152F2">
              <w:rPr>
                <w:rFonts w:ascii="Arial" w:hAnsi="Arial" w:cs="Arial"/>
                <w:sz w:val="20"/>
                <w:szCs w:val="20"/>
                <w:lang w:val="mn-MN"/>
              </w:rPr>
              <w:t>Хуулийн 6-р зүйлийн 6.5...............</w:t>
            </w:r>
            <w:r w:rsidRPr="005152F2">
              <w:rPr>
                <w:rFonts w:ascii="Arial" w:hAnsi="Arial" w:cs="Arial"/>
                <w:color w:val="000000" w:themeColor="text1"/>
                <w:sz w:val="20"/>
                <w:szCs w:val="20"/>
                <w:lang w:val="mn-MN"/>
              </w:rPr>
              <w:t xml:space="preserve"> </w:t>
            </w:r>
          </w:p>
        </w:tc>
        <w:tc>
          <w:tcPr>
            <w:tcW w:w="4614" w:type="dxa"/>
          </w:tcPr>
          <w:p w:rsidR="000F6443" w:rsidRPr="005152F2" w:rsidRDefault="000F6443" w:rsidP="005152F2">
            <w:pPr>
              <w:jc w:val="both"/>
              <w:rPr>
                <w:rFonts w:ascii="Arial" w:hAnsi="Arial" w:cs="Arial"/>
                <w:sz w:val="20"/>
                <w:szCs w:val="20"/>
                <w:lang w:val="mn-MN"/>
              </w:rPr>
            </w:pPr>
            <w:r w:rsidRPr="005152F2">
              <w:rPr>
                <w:rFonts w:ascii="Arial" w:hAnsi="Arial" w:cs="Arial"/>
                <w:sz w:val="20"/>
                <w:szCs w:val="20"/>
                <w:lang w:val="mn-MN"/>
              </w:rPr>
              <w:t xml:space="preserve">хүнийг </w:t>
            </w:r>
            <w:r w:rsidRPr="005152F2">
              <w:rPr>
                <w:rFonts w:ascii="Arial" w:hAnsi="Arial" w:cs="Arial"/>
                <w:b/>
                <w:bCs/>
                <w:color w:val="000000" w:themeColor="text1"/>
                <w:sz w:val="20"/>
                <w:szCs w:val="20"/>
                <w:lang w:val="mn-MN"/>
              </w:rPr>
              <w:t>тавин нэгжтэй</w:t>
            </w:r>
            <w:r w:rsidRPr="005152F2">
              <w:rPr>
                <w:rFonts w:ascii="Arial" w:hAnsi="Arial" w:cs="Arial"/>
                <w:color w:val="000000" w:themeColor="text1"/>
                <w:sz w:val="20"/>
                <w:szCs w:val="20"/>
                <w:lang w:val="mn-MN"/>
              </w:rPr>
              <w:t xml:space="preserve"> </w:t>
            </w:r>
            <w:r w:rsidRPr="005152F2">
              <w:rPr>
                <w:rFonts w:ascii="Arial" w:hAnsi="Arial" w:cs="Arial"/>
                <w:sz w:val="20"/>
                <w:szCs w:val="20"/>
                <w:lang w:val="mn-MN"/>
              </w:rPr>
              <w:t xml:space="preserve">тэнцэх хэмжээний төгрөгөөр, хуулийн этгээдийг </w:t>
            </w:r>
            <w:r w:rsidRPr="005152F2">
              <w:rPr>
                <w:rFonts w:ascii="Arial" w:hAnsi="Arial" w:cs="Arial"/>
                <w:b/>
                <w:bCs/>
                <w:sz w:val="20"/>
                <w:szCs w:val="20"/>
                <w:lang w:val="mn-MN"/>
              </w:rPr>
              <w:t>500 нэгжтэй</w:t>
            </w:r>
            <w:r w:rsidRPr="005152F2">
              <w:rPr>
                <w:rFonts w:ascii="Arial" w:hAnsi="Arial" w:cs="Arial"/>
                <w:sz w:val="20"/>
                <w:szCs w:val="20"/>
                <w:lang w:val="mn-MN"/>
              </w:rPr>
              <w:t xml:space="preserve"> тэнцэх хэмжээний төгрөгөөр торгоно гэж өөрчлөх</w:t>
            </w:r>
          </w:p>
        </w:tc>
        <w:tc>
          <w:tcPr>
            <w:tcW w:w="3238" w:type="dxa"/>
          </w:tcPr>
          <w:p w:rsidR="000F6443" w:rsidRPr="005152F2" w:rsidRDefault="000F6443" w:rsidP="005152F2">
            <w:pPr>
              <w:jc w:val="both"/>
              <w:rPr>
                <w:rFonts w:ascii="Arial" w:hAnsi="Arial" w:cs="Arial"/>
                <w:sz w:val="20"/>
                <w:szCs w:val="20"/>
                <w:lang w:val="mn-MN"/>
              </w:rPr>
            </w:pPr>
          </w:p>
        </w:tc>
      </w:tr>
      <w:tr w:rsidR="000F6443" w:rsidRPr="005152F2" w:rsidTr="005152F2">
        <w:tc>
          <w:tcPr>
            <w:tcW w:w="704" w:type="dxa"/>
          </w:tcPr>
          <w:p w:rsidR="000F6443" w:rsidRPr="005152F2" w:rsidRDefault="000F6443" w:rsidP="005152F2">
            <w:pPr>
              <w:rPr>
                <w:rFonts w:ascii="Arial" w:hAnsi="Arial" w:cs="Arial"/>
                <w:sz w:val="20"/>
                <w:szCs w:val="20"/>
                <w:lang w:val="mn-MN"/>
              </w:rPr>
            </w:pPr>
          </w:p>
        </w:tc>
        <w:tc>
          <w:tcPr>
            <w:tcW w:w="4394" w:type="dxa"/>
          </w:tcPr>
          <w:p w:rsidR="000F6443" w:rsidRPr="005152F2" w:rsidRDefault="000F6443" w:rsidP="005152F2">
            <w:pPr>
              <w:pStyle w:val="ListParagraph"/>
              <w:numPr>
                <w:ilvl w:val="0"/>
                <w:numId w:val="1"/>
              </w:numPr>
              <w:jc w:val="both"/>
              <w:rPr>
                <w:rFonts w:ascii="Arial" w:hAnsi="Arial" w:cs="Arial"/>
                <w:sz w:val="20"/>
                <w:szCs w:val="20"/>
                <w:lang w:val="mn-MN"/>
              </w:rPr>
            </w:pPr>
            <w:r w:rsidRPr="005152F2">
              <w:rPr>
                <w:rFonts w:ascii="Arial" w:hAnsi="Arial" w:cs="Arial"/>
                <w:sz w:val="20"/>
                <w:szCs w:val="20"/>
                <w:lang w:val="mn-MN"/>
              </w:rPr>
              <w:t xml:space="preserve">Хуулийн 6.15 дугаар зүйлд </w:t>
            </w:r>
          </w:p>
        </w:tc>
        <w:tc>
          <w:tcPr>
            <w:tcW w:w="4614" w:type="dxa"/>
          </w:tcPr>
          <w:p w:rsidR="000F6443" w:rsidRPr="005152F2" w:rsidRDefault="000F6443" w:rsidP="005152F2">
            <w:pPr>
              <w:jc w:val="both"/>
              <w:rPr>
                <w:rFonts w:ascii="Arial" w:hAnsi="Arial" w:cs="Arial"/>
                <w:sz w:val="20"/>
                <w:szCs w:val="20"/>
                <w:lang w:val="mn-MN"/>
              </w:rPr>
            </w:pPr>
            <w:r w:rsidRPr="005152F2">
              <w:rPr>
                <w:rFonts w:ascii="Arial" w:hAnsi="Arial" w:cs="Arial"/>
                <w:sz w:val="20"/>
                <w:szCs w:val="20"/>
                <w:lang w:val="mn-MN"/>
              </w:rPr>
              <w:t xml:space="preserve">5 дахь заалт нэмж Эрүүл ахуйн нөхцөл шаардлагыг хангуулахтай холбогдсон хориглох зүйлийг зөрчсөн бол хүнийг </w:t>
            </w:r>
            <w:r w:rsidRPr="005152F2">
              <w:rPr>
                <w:rFonts w:ascii="Arial" w:hAnsi="Arial" w:cs="Arial"/>
                <w:color w:val="000000" w:themeColor="text1"/>
                <w:sz w:val="20"/>
                <w:szCs w:val="20"/>
                <w:lang w:val="mn-MN"/>
              </w:rPr>
              <w:t xml:space="preserve">тавин нэгжтэй </w:t>
            </w:r>
            <w:r w:rsidRPr="005152F2">
              <w:rPr>
                <w:rFonts w:ascii="Arial" w:hAnsi="Arial" w:cs="Arial"/>
                <w:sz w:val="20"/>
                <w:szCs w:val="20"/>
                <w:lang w:val="mn-MN"/>
              </w:rPr>
              <w:t>тэнцэх хэмжээний төгрөгөөр, хуулийн этгээдийг 500 нэгжтэй тэнцэх хэмжээний төгрөгөөр торгоно гэж нэмэлт заалт оруулах</w:t>
            </w:r>
          </w:p>
        </w:tc>
        <w:tc>
          <w:tcPr>
            <w:tcW w:w="3238" w:type="dxa"/>
          </w:tcPr>
          <w:p w:rsidR="000F6443" w:rsidRPr="005152F2" w:rsidRDefault="000F6443" w:rsidP="005152F2">
            <w:pPr>
              <w:jc w:val="both"/>
              <w:rPr>
                <w:rFonts w:ascii="Arial" w:hAnsi="Arial" w:cs="Arial"/>
                <w:sz w:val="20"/>
                <w:szCs w:val="20"/>
                <w:lang w:val="mn-MN"/>
              </w:rPr>
            </w:pPr>
          </w:p>
        </w:tc>
      </w:tr>
      <w:tr w:rsidR="000F6443" w:rsidRPr="005152F2" w:rsidTr="005152F2">
        <w:tc>
          <w:tcPr>
            <w:tcW w:w="704" w:type="dxa"/>
          </w:tcPr>
          <w:p w:rsidR="000F6443" w:rsidRPr="005152F2" w:rsidRDefault="000F6443" w:rsidP="005152F2">
            <w:pPr>
              <w:rPr>
                <w:rFonts w:ascii="Arial" w:hAnsi="Arial" w:cs="Arial"/>
                <w:sz w:val="20"/>
                <w:szCs w:val="20"/>
                <w:lang w:val="mn-MN"/>
              </w:rPr>
            </w:pPr>
            <w:r w:rsidRPr="005152F2">
              <w:rPr>
                <w:rFonts w:ascii="Arial" w:hAnsi="Arial" w:cs="Arial"/>
                <w:sz w:val="20"/>
                <w:szCs w:val="20"/>
                <w:lang w:val="mn-MN"/>
              </w:rPr>
              <w:t>2</w:t>
            </w:r>
          </w:p>
        </w:tc>
        <w:tc>
          <w:tcPr>
            <w:tcW w:w="4394" w:type="dxa"/>
          </w:tcPr>
          <w:p w:rsidR="000F6443" w:rsidRPr="005152F2" w:rsidRDefault="000F6443" w:rsidP="005152F2">
            <w:pPr>
              <w:rPr>
                <w:rFonts w:ascii="Arial" w:hAnsi="Arial" w:cs="Arial"/>
                <w:sz w:val="20"/>
                <w:szCs w:val="20"/>
                <w:lang w:val="mn-MN"/>
              </w:rPr>
            </w:pPr>
            <w:r w:rsidRPr="005152F2">
              <w:rPr>
                <w:rFonts w:ascii="Arial" w:hAnsi="Arial" w:cs="Arial"/>
                <w:sz w:val="20"/>
                <w:szCs w:val="20"/>
                <w:lang w:val="mn-MN"/>
              </w:rPr>
              <w:t>9.2 дугаар зүйлийн 2 дахь заалт</w:t>
            </w:r>
          </w:p>
        </w:tc>
        <w:tc>
          <w:tcPr>
            <w:tcW w:w="4614" w:type="dxa"/>
          </w:tcPr>
          <w:p w:rsidR="000F6443" w:rsidRPr="005152F2" w:rsidRDefault="000F6443" w:rsidP="005152F2">
            <w:pPr>
              <w:jc w:val="both"/>
              <w:rPr>
                <w:rFonts w:ascii="Arial" w:hAnsi="Arial" w:cs="Arial"/>
                <w:sz w:val="20"/>
                <w:szCs w:val="20"/>
                <w:lang w:val="mn-MN"/>
              </w:rPr>
            </w:pPr>
            <w:r w:rsidRPr="005152F2">
              <w:rPr>
                <w:rFonts w:ascii="Arial" w:hAnsi="Arial" w:cs="Arial"/>
                <w:sz w:val="20"/>
                <w:szCs w:val="20"/>
                <w:lang w:val="mn-MN"/>
              </w:rPr>
              <w:t>”Үйлдвэрлэлийн осол, хурц хордлогыг нуун дарагдуулсан нь эрүүгийн хариуцлага хүлээлгэхээргүй бол хүнийг дөрвөн зуун нэгжтэй тэнцэх хэмжээний төгрөгөөр, хуулийн этгээдийг дөрвөн мянган нэгжтэй тэнцэх хэмжээний төгрөгөөр торгоно.” гэсний өмнө “Ажил олгогч эсвэл үйлдвэрлэлийн осол, хурц хордлого судлан бүртгэх комисс нь үйлдвэрлэлийн осол, хурц хордлогын талаар харьяа орон нутгийн мэргэжлийн хяналтын байгууллагад нэн даруй мэдэгдээгүй, үйлдвэрлэлийн ослыг судлан бүртгэсэн актыг тогтоосон хугацаанд хөдөлмөрийн болон хөдөлмөрийн эрүүл ахуйн хяналтын улсын байцаагчид хүргүүлээгүй,” гэж оруулах</w:t>
            </w:r>
          </w:p>
        </w:tc>
        <w:tc>
          <w:tcPr>
            <w:tcW w:w="3238" w:type="dxa"/>
          </w:tcPr>
          <w:p w:rsidR="000F6443" w:rsidRPr="005152F2" w:rsidRDefault="000F6443" w:rsidP="005152F2">
            <w:pPr>
              <w:jc w:val="both"/>
              <w:rPr>
                <w:rFonts w:ascii="Arial" w:hAnsi="Arial" w:cs="Arial"/>
                <w:sz w:val="20"/>
                <w:szCs w:val="20"/>
                <w:lang w:val="mn-MN"/>
              </w:rPr>
            </w:pPr>
            <w:r w:rsidRPr="005152F2">
              <w:rPr>
                <w:rFonts w:ascii="Arial" w:hAnsi="Arial" w:cs="Arial"/>
                <w:sz w:val="20"/>
                <w:szCs w:val="20"/>
                <w:lang w:val="mn-MN"/>
              </w:rPr>
              <w:t>Хөдөлмөрийн аюулгүй байдал, эрүүл ахуйн тухай хуулинд нуун дарагдуулах талаар нэр томъёоны тодорхойлолт, тайлбар байдаггүй тул дэлгэрэнгүй оруулах нь зүйтэй.</w:t>
            </w:r>
          </w:p>
        </w:tc>
      </w:tr>
    </w:tbl>
    <w:p w:rsidR="00D14DFA" w:rsidRPr="005152F2" w:rsidRDefault="00D14DFA">
      <w:pPr>
        <w:rPr>
          <w:rFonts w:ascii="Arial" w:hAnsi="Arial" w:cs="Arial"/>
        </w:rPr>
      </w:pPr>
      <w:bookmarkStart w:id="0" w:name="_GoBack"/>
      <w:bookmarkEnd w:id="0"/>
    </w:p>
    <w:sectPr w:rsidR="00D14DFA" w:rsidRPr="005152F2" w:rsidSect="005152F2">
      <w:pgSz w:w="15840" w:h="12240" w:orient="landscape"/>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B5783"/>
    <w:multiLevelType w:val="hybridMultilevel"/>
    <w:tmpl w:val="D2D6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84"/>
    <w:rsid w:val="00064767"/>
    <w:rsid w:val="000E62AB"/>
    <w:rsid w:val="000F6443"/>
    <w:rsid w:val="00290718"/>
    <w:rsid w:val="003507D5"/>
    <w:rsid w:val="005152F2"/>
    <w:rsid w:val="006272F1"/>
    <w:rsid w:val="00BE6784"/>
    <w:rsid w:val="00D1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9A77D-F970-4305-8359-CD1D05D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0F6443"/>
    <w:pPr>
      <w:spacing w:before="100" w:beforeAutospacing="1" w:after="100" w:afterAutospacing="1" w:line="240" w:lineRule="auto"/>
    </w:pPr>
    <w:rPr>
      <w:rFonts w:ascii="Times New Roman" w:eastAsia="Times New Roman" w:hAnsi="Times New Roman" w:cs="Times New Roman"/>
      <w:sz w:val="20"/>
      <w:szCs w:val="24"/>
    </w:rPr>
  </w:style>
  <w:style w:type="character" w:customStyle="1" w:styleId="NormalWebChar">
    <w:name w:val="Normal (Web) Char"/>
    <w:link w:val="NormalWeb"/>
    <w:uiPriority w:val="99"/>
    <w:locked/>
    <w:rsid w:val="000F6443"/>
    <w:rPr>
      <w:rFonts w:ascii="Times New Roman" w:eastAsia="Times New Roman" w:hAnsi="Times New Roman" w:cs="Times New Roman"/>
      <w:sz w:val="20"/>
      <w:szCs w:val="24"/>
    </w:rPr>
  </w:style>
  <w:style w:type="paragraph" w:styleId="ListParagraph">
    <w:name w:val="List Paragraph"/>
    <w:basedOn w:val="Normal"/>
    <w:uiPriority w:val="34"/>
    <w:qFormat/>
    <w:rsid w:val="000F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Tamiraa</dc:creator>
  <cp:keywords/>
  <dc:description/>
  <cp:lastModifiedBy>Tamiraa</cp:lastModifiedBy>
  <cp:revision>3</cp:revision>
  <dcterms:created xsi:type="dcterms:W3CDTF">2022-07-07T01:57:00Z</dcterms:created>
  <dcterms:modified xsi:type="dcterms:W3CDTF">2022-07-19T08:08:00Z</dcterms:modified>
</cp:coreProperties>
</file>