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DC" w:rsidRPr="00160684" w:rsidRDefault="005276DC" w:rsidP="00160684">
      <w:pPr>
        <w:spacing w:after="0" w:line="240" w:lineRule="auto"/>
        <w:jc w:val="center"/>
        <w:rPr>
          <w:rFonts w:eastAsiaTheme="minorEastAsia" w:cs="Arial"/>
          <w:b/>
          <w:bCs/>
          <w:caps/>
          <w:sz w:val="22"/>
          <w:lang w:val="mn-MN" w:eastAsia="zh-CN"/>
        </w:rPr>
      </w:pPr>
    </w:p>
    <w:p w:rsidR="00371255" w:rsidRPr="00160684" w:rsidRDefault="00BD5E05" w:rsidP="00160684">
      <w:pPr>
        <w:spacing w:after="0" w:line="240" w:lineRule="auto"/>
        <w:jc w:val="center"/>
        <w:rPr>
          <w:rFonts w:eastAsiaTheme="minorEastAsia" w:cs="Arial"/>
          <w:bCs/>
          <w:caps/>
          <w:sz w:val="22"/>
          <w:lang w:val="mn-MN" w:eastAsia="zh-CN"/>
        </w:rPr>
      </w:pPr>
      <w:r w:rsidRPr="00160684">
        <w:rPr>
          <w:rFonts w:eastAsiaTheme="minorEastAsia" w:cs="Arial"/>
          <w:bCs/>
          <w:caps/>
          <w:sz w:val="22"/>
          <w:lang w:val="mn-MN" w:eastAsia="zh-CN"/>
        </w:rPr>
        <w:t>МЭРГЭЖЛИЙН ХЯНАЛТЫН БАЙГУУЛЛАГЫН</w:t>
      </w:r>
      <w:r w:rsidR="00995BA8" w:rsidRPr="00160684">
        <w:rPr>
          <w:rFonts w:eastAsiaTheme="minorEastAsia" w:cs="Arial"/>
          <w:bCs/>
          <w:caps/>
          <w:sz w:val="22"/>
          <w:lang w:val="mn-MN" w:eastAsia="zh-CN"/>
        </w:rPr>
        <w:t xml:space="preserve"> 2021 оны</w:t>
      </w:r>
      <w:r w:rsidR="00371255" w:rsidRPr="00160684">
        <w:rPr>
          <w:rFonts w:eastAsiaTheme="minorEastAsia" w:cs="Arial"/>
          <w:bCs/>
          <w:caps/>
          <w:sz w:val="22"/>
          <w:lang w:val="mn-MN" w:eastAsia="zh-CN"/>
        </w:rPr>
        <w:t xml:space="preserve"> </w:t>
      </w:r>
      <w:r w:rsidR="00995BA8" w:rsidRPr="00160684">
        <w:rPr>
          <w:rFonts w:eastAsiaTheme="minorEastAsia" w:cs="Arial"/>
          <w:bCs/>
          <w:caps/>
          <w:sz w:val="22"/>
          <w:lang w:val="mn-MN" w:eastAsia="zh-CN"/>
        </w:rPr>
        <w:t xml:space="preserve">авлигын </w:t>
      </w:r>
    </w:p>
    <w:p w:rsidR="00995BA8" w:rsidRPr="00160684" w:rsidRDefault="00995BA8" w:rsidP="00160684">
      <w:pPr>
        <w:spacing w:after="0" w:line="240" w:lineRule="auto"/>
        <w:jc w:val="center"/>
        <w:rPr>
          <w:rFonts w:eastAsiaTheme="minorEastAsia" w:cs="Arial"/>
          <w:bCs/>
          <w:caps/>
          <w:sz w:val="22"/>
          <w:lang w:val="mn-MN" w:eastAsia="zh-CN"/>
        </w:rPr>
      </w:pPr>
      <w:r w:rsidRPr="00160684">
        <w:rPr>
          <w:rFonts w:eastAsiaTheme="minorEastAsia" w:cs="Arial"/>
          <w:bCs/>
          <w:caps/>
          <w:sz w:val="22"/>
          <w:lang w:val="mn-MN" w:eastAsia="zh-CN"/>
        </w:rPr>
        <w:t xml:space="preserve"> </w:t>
      </w:r>
      <w:r w:rsidR="00371255" w:rsidRPr="00160684">
        <w:rPr>
          <w:rFonts w:eastAsiaTheme="minorEastAsia" w:cs="Arial"/>
          <w:bCs/>
          <w:caps/>
          <w:sz w:val="22"/>
          <w:lang w:val="mn-MN" w:eastAsia="zh-CN"/>
        </w:rPr>
        <w:t xml:space="preserve">эсрэг </w:t>
      </w:r>
      <w:r w:rsidRPr="00160684">
        <w:rPr>
          <w:rFonts w:eastAsiaTheme="minorEastAsia" w:cs="Arial"/>
          <w:bCs/>
          <w:caps/>
          <w:sz w:val="22"/>
          <w:lang w:val="mn-MN" w:eastAsia="zh-CN"/>
        </w:rPr>
        <w:t>үйл аж</w:t>
      </w:r>
      <w:r w:rsidR="00BD5E05" w:rsidRPr="00160684">
        <w:rPr>
          <w:rFonts w:eastAsiaTheme="minorEastAsia" w:cs="Arial"/>
          <w:bCs/>
          <w:caps/>
          <w:sz w:val="22"/>
          <w:lang w:val="mn-MN" w:eastAsia="zh-CN"/>
        </w:rPr>
        <w:t>иллагааны төлөвлөгөө</w:t>
      </w:r>
      <w:r w:rsidR="00FB0057">
        <w:rPr>
          <w:rFonts w:eastAsiaTheme="minorEastAsia" w:cs="Arial"/>
          <w:bCs/>
          <w:caps/>
          <w:sz w:val="22"/>
          <w:lang w:val="mn-MN" w:eastAsia="zh-CN"/>
        </w:rPr>
        <w:t xml:space="preserve">НИЙ ХЭРЭГЖИЛТ </w:t>
      </w:r>
    </w:p>
    <w:p w:rsidR="00371255" w:rsidRPr="00160684" w:rsidRDefault="00371255" w:rsidP="00160684">
      <w:pPr>
        <w:spacing w:after="0" w:line="240" w:lineRule="auto"/>
        <w:ind w:left="10080"/>
        <w:jc w:val="center"/>
        <w:rPr>
          <w:rFonts w:eastAsiaTheme="minorEastAsia" w:cs="Arial"/>
          <w:caps/>
          <w:sz w:val="22"/>
          <w:lang w:val="mn-MN" w:eastAsia="zh-CN"/>
        </w:rPr>
      </w:pPr>
    </w:p>
    <w:p w:rsidR="00995BA8" w:rsidRPr="00160684" w:rsidRDefault="00995BA8" w:rsidP="00160684">
      <w:pPr>
        <w:spacing w:after="0" w:line="240" w:lineRule="auto"/>
        <w:ind w:left="10080"/>
        <w:jc w:val="center"/>
        <w:rPr>
          <w:rFonts w:eastAsiaTheme="minorEastAsia" w:cs="Arial"/>
          <w:caps/>
          <w:sz w:val="22"/>
          <w:lang w:val="mn-MN" w:eastAsia="zh-CN"/>
        </w:rPr>
      </w:pPr>
    </w:p>
    <w:tbl>
      <w:tblPr>
        <w:tblW w:w="15318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957"/>
        <w:gridCol w:w="4111"/>
        <w:gridCol w:w="2410"/>
        <w:gridCol w:w="1134"/>
        <w:gridCol w:w="5073"/>
      </w:tblGrid>
      <w:tr w:rsidR="008255E2" w:rsidRPr="00DB29B2" w:rsidTr="00DB29B2">
        <w:trPr>
          <w:trHeight w:val="96"/>
        </w:trPr>
        <w:tc>
          <w:tcPr>
            <w:tcW w:w="633" w:type="dxa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957" w:type="dxa"/>
          </w:tcPr>
          <w:p w:rsidR="008255E2" w:rsidRPr="00DB29B2" w:rsidRDefault="000F489F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Зорилт</w:t>
            </w:r>
          </w:p>
        </w:tc>
        <w:tc>
          <w:tcPr>
            <w:tcW w:w="4111" w:type="dxa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Хэрэгжүүлэх арга хэмжээ</w:t>
            </w:r>
          </w:p>
        </w:tc>
        <w:tc>
          <w:tcPr>
            <w:tcW w:w="2410" w:type="dxa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Гүйцэтгэлийн үзүүлэлт</w:t>
            </w:r>
          </w:p>
        </w:tc>
        <w:tc>
          <w:tcPr>
            <w:tcW w:w="1134" w:type="dxa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5073" w:type="dxa"/>
          </w:tcPr>
          <w:p w:rsidR="008255E2" w:rsidRPr="00DB29B2" w:rsidRDefault="00DB29B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Хэрэгжилт </w:t>
            </w:r>
          </w:p>
        </w:tc>
      </w:tr>
      <w:tr w:rsidR="008255E2" w:rsidRPr="00DB29B2" w:rsidTr="00DB29B2">
        <w:trPr>
          <w:trHeight w:val="734"/>
        </w:trPr>
        <w:tc>
          <w:tcPr>
            <w:tcW w:w="633" w:type="dxa"/>
            <w:vMerge w:val="restart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957" w:type="dxa"/>
            <w:vMerge w:val="restart"/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Авлигын эсрэг </w:t>
            </w:r>
            <w:r w:rsidRPr="00DB29B2">
              <w:rPr>
                <w:rFonts w:cs="Arial"/>
                <w:sz w:val="20"/>
                <w:szCs w:val="20"/>
                <w:lang w:val="ms-MY"/>
              </w:rPr>
              <w:t>хууль то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>г</w:t>
            </w:r>
            <w:r w:rsidRPr="00DB29B2">
              <w:rPr>
                <w:rFonts w:cs="Arial"/>
                <w:sz w:val="20"/>
                <w:szCs w:val="20"/>
                <w:lang w:val="ms-MY"/>
              </w:rPr>
              <w:t>тоомжийг иргэдэд сурталчлах,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соён гэгээрүүлэх  үйл ажиллагааны хүртээмжийг нэмэгдүүлэх</w:t>
            </w:r>
          </w:p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b/>
                <w:i/>
                <w:sz w:val="20"/>
                <w:szCs w:val="20"/>
                <w:lang w:val="mn-MN"/>
              </w:rPr>
              <w:t xml:space="preserve"> </w:t>
            </w:r>
          </w:p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eastAsiaTheme="minorEastAsia" w:cs="Arial"/>
                <w:sz w:val="20"/>
                <w:szCs w:val="20"/>
                <w:lang w:val="mn-MN" w:eastAsia="zh-C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1.1.АТГ-аас бэлтгэсэн тв шторк, инфографик, видео график, нийтлэл, теле зохиомж, хөдөлгөөнт зураг, зурагт хуудас, цахим ном, 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гарын авлага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зэргийг хэвлэл мэдээллийн хэрэгсэл, албан ёсны ца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хим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хуудас болон нийгмийн сүлжээ (фэйсбүүк</w:t>
            </w:r>
            <w:r w:rsidRPr="00DB29B2">
              <w:rPr>
                <w:rFonts w:cs="Arial"/>
                <w:color w:val="70AD47" w:themeColor="accent6"/>
                <w:sz w:val="20"/>
                <w:szCs w:val="20"/>
                <w:lang w:val="mn-MN"/>
              </w:rPr>
              <w:t xml:space="preserve">, 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твиттер, 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 xml:space="preserve">youtube суваг), 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>с</w:t>
            </w:r>
            <w:r w:rsidR="0095546B" w:rsidRPr="00DB29B2">
              <w:rPr>
                <w:rFonts w:cs="Arial"/>
                <w:sz w:val="20"/>
                <w:szCs w:val="20"/>
                <w:lang w:val="mn-MN"/>
              </w:rPr>
              <w:t>урталчилгааны самбарт байршуулна.</w:t>
            </w:r>
          </w:p>
        </w:tc>
        <w:tc>
          <w:tcPr>
            <w:tcW w:w="2410" w:type="dxa"/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-Баримтжуулж, үр</w:t>
            </w:r>
            <w:r w:rsidR="0095546B" w:rsidRPr="00DB29B2">
              <w:rPr>
                <w:rFonts w:cs="Arial"/>
                <w:sz w:val="20"/>
                <w:szCs w:val="20"/>
                <w:lang w:val="mn-MN"/>
              </w:rPr>
              <w:t xml:space="preserve"> дүнг тооцож, тайлагнасан байна. </w:t>
            </w:r>
          </w:p>
        </w:tc>
        <w:tc>
          <w:tcPr>
            <w:tcW w:w="1134" w:type="dxa"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Байнга</w:t>
            </w:r>
          </w:p>
        </w:tc>
        <w:tc>
          <w:tcPr>
            <w:tcW w:w="5073" w:type="dxa"/>
          </w:tcPr>
          <w:p w:rsidR="008255E2" w:rsidRPr="00DB29B2" w:rsidRDefault="006A3B3E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АТГ-аас бэлтгэсэн 3 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 xml:space="preserve">гарын байгууллагын цахим хуудсанд болон самбарт байршуулан ажиллав. </w:t>
            </w:r>
          </w:p>
        </w:tc>
      </w:tr>
      <w:tr w:rsidR="00675C8B" w:rsidRPr="00DB29B2" w:rsidTr="00DB29B2">
        <w:trPr>
          <w:trHeight w:val="528"/>
        </w:trPr>
        <w:tc>
          <w:tcPr>
            <w:tcW w:w="633" w:type="dxa"/>
            <w:vMerge/>
            <w:tcBorders>
              <w:bottom w:val="nil"/>
            </w:tcBorders>
          </w:tcPr>
          <w:p w:rsidR="00675C8B" w:rsidRPr="00DB29B2" w:rsidRDefault="00675C8B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1.2.Авлигатай тэмцэх газраас санаачилсан аян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,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арга хэмжээг байгууллага</w:t>
            </w: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 xml:space="preserve">, салбар нэгж, нутаг дэвсгэрийн онцлогт тохируулан 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зохион байгуулна.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-Дэмжиж хамтран ажилласан байна.</w:t>
            </w:r>
          </w:p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-Салбар нэгж, о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рон нутаг, зохион байгуулж, үр дүнг тайлагнасан байна.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675C8B" w:rsidRPr="00DB29B2" w:rsidRDefault="00675C8B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5073" w:type="dxa"/>
            <w:vMerge w:val="restart"/>
            <w:tcBorders>
              <w:bottom w:val="single" w:sz="4" w:space="0" w:color="000000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Тамгын газар, орон нутгийн Мэргэжлийн хяналтын байгууллага</w:t>
            </w:r>
          </w:p>
        </w:tc>
      </w:tr>
      <w:tr w:rsidR="00675C8B" w:rsidRPr="00DB29B2" w:rsidTr="00DB29B2">
        <w:trPr>
          <w:trHeight w:val="647"/>
        </w:trPr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57" w:type="dxa"/>
            <w:tcBorders>
              <w:top w:val="nil"/>
              <w:bottom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5073" w:type="dxa"/>
            <w:vMerge/>
            <w:tcBorders>
              <w:bottom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8255E2" w:rsidRPr="00DB29B2" w:rsidTr="00DB29B2">
        <w:trPr>
          <w:trHeight w:val="1088"/>
        </w:trPr>
        <w:tc>
          <w:tcPr>
            <w:tcW w:w="633" w:type="dxa"/>
            <w:vMerge w:val="restart"/>
            <w:tcBorders>
              <w:top w:val="nil"/>
            </w:tcBorders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957" w:type="dxa"/>
            <w:vMerge w:val="restart"/>
            <w:tcBorders>
              <w:top w:val="nil"/>
              <w:right w:val="single" w:sz="4" w:space="0" w:color="auto"/>
            </w:tcBorders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Авлигын эсрэг  сургалт зохион байгуулах, албан хаагчдыг АТГ-аас зохион байгуулах сургалтад хамруулах</w:t>
            </w:r>
          </w:p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2.1.Авлигын эсрэг сургалтын санал, захиалгыг төлөвлөгөөнд тусгуулахаар 01 дүгээр сарын 25</w:t>
            </w:r>
            <w:r w:rsidR="0095546B" w:rsidRPr="00DB29B2">
              <w:rPr>
                <w:rFonts w:cs="Arial"/>
                <w:sz w:val="20"/>
                <w:szCs w:val="20"/>
                <w:lang w:val="mn-MN"/>
              </w:rPr>
              <w:t>-ны дотор АТГ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-т </w:t>
            </w:r>
            <w:r w:rsidR="0095546B" w:rsidRPr="00DB29B2">
              <w:rPr>
                <w:rFonts w:cs="Arial"/>
                <w:sz w:val="20"/>
                <w:szCs w:val="20"/>
                <w:lang w:val="mn-MN"/>
              </w:rPr>
              <w:t xml:space="preserve">хүргүүлнэ.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-</w:t>
            </w:r>
            <w:r w:rsidR="0095546B" w:rsidRPr="00DB29B2">
              <w:rPr>
                <w:rFonts w:cs="Arial"/>
                <w:sz w:val="20"/>
                <w:szCs w:val="20"/>
                <w:lang w:val="mn-MN"/>
              </w:rPr>
              <w:t xml:space="preserve">Захиалга хүргүүлж, зохион байгуулсан сургалтад хамруулсан байна. </w:t>
            </w:r>
            <w:r w:rsidR="006842AF" w:rsidRPr="00DB29B2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2" w:rsidRPr="00DB29B2" w:rsidRDefault="006842AF" w:rsidP="00DB29B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01 сарын 25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2" w:rsidRPr="00DB29B2" w:rsidRDefault="00AD45FE" w:rsidP="00DB29B2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</w:rPr>
              <w:t xml:space="preserve">2021 </w:t>
            </w:r>
            <w:proofErr w:type="spellStart"/>
            <w:r w:rsidRPr="00DB29B2">
              <w:rPr>
                <w:rFonts w:cs="Arial"/>
                <w:sz w:val="20"/>
                <w:szCs w:val="20"/>
              </w:rPr>
              <w:t>онд</w:t>
            </w:r>
            <w:proofErr w:type="spellEnd"/>
            <w:r w:rsidRPr="00DB29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sz w:val="20"/>
                <w:szCs w:val="20"/>
              </w:rPr>
              <w:t>Авлигын</w:t>
            </w:r>
            <w:proofErr w:type="spellEnd"/>
            <w:r w:rsidRPr="00DB29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sz w:val="20"/>
                <w:szCs w:val="20"/>
              </w:rPr>
              <w:t>эсрэг</w:t>
            </w:r>
            <w:proofErr w:type="spellEnd"/>
            <w:r w:rsidRPr="00DB29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sz w:val="20"/>
                <w:szCs w:val="20"/>
              </w:rPr>
              <w:t>суурь</w:t>
            </w:r>
            <w:proofErr w:type="spellEnd"/>
            <w:r w:rsidRPr="00DB29B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sz w:val="20"/>
                <w:szCs w:val="20"/>
              </w:rPr>
              <w:t>сургалтад</w:t>
            </w:r>
            <w:proofErr w:type="spellEnd"/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18 албан хаагчийг хамруулахаар судалгааг </w:t>
            </w:r>
            <w:r w:rsidRPr="00DB29B2">
              <w:rPr>
                <w:rFonts w:cs="Arial"/>
                <w:color w:val="050505"/>
                <w:sz w:val="20"/>
                <w:szCs w:val="20"/>
                <w:shd w:val="clear" w:color="auto" w:fill="FFFFFF"/>
              </w:rPr>
              <w:t xml:space="preserve">nm_ssia@yahoo.com </w:t>
            </w:r>
            <w:proofErr w:type="spellStart"/>
            <w:r w:rsidRPr="00DB29B2">
              <w:rPr>
                <w:rFonts w:cs="Arial"/>
                <w:color w:val="050505"/>
                <w:sz w:val="20"/>
                <w:szCs w:val="20"/>
                <w:shd w:val="clear" w:color="auto" w:fill="FFFFFF"/>
              </w:rPr>
              <w:t>хаягаар</w:t>
            </w:r>
            <w:proofErr w:type="spellEnd"/>
            <w:r w:rsidRPr="00DB29B2">
              <w:rPr>
                <w:rFonts w:cs="Arial"/>
                <w:sz w:val="20"/>
                <w:szCs w:val="20"/>
                <w:lang w:val="mn-MN"/>
              </w:rPr>
              <w:t xml:space="preserve"> 02 дугаар сарын 04-ний өдөр хүргүүлэв. </w:t>
            </w:r>
          </w:p>
        </w:tc>
      </w:tr>
      <w:tr w:rsidR="008255E2" w:rsidRPr="00DB29B2" w:rsidTr="00DB29B2">
        <w:trPr>
          <w:trHeight w:val="20"/>
        </w:trPr>
        <w:tc>
          <w:tcPr>
            <w:tcW w:w="633" w:type="dxa"/>
            <w:vMerge/>
          </w:tcPr>
          <w:p w:rsidR="008255E2" w:rsidRPr="00DB29B2" w:rsidRDefault="008255E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57" w:type="dxa"/>
            <w:vMerge/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2.2.АТГ-аас зохион байгуулдаг авлигын эсрэг анхан болон давтан сургалтад албан хаагчдаа хамруул</w:t>
            </w:r>
            <w:r w:rsidR="008A3A1A" w:rsidRPr="00DB29B2">
              <w:rPr>
                <w:rFonts w:cs="Arial"/>
                <w:sz w:val="20"/>
                <w:szCs w:val="20"/>
                <w:lang w:val="mn-MN"/>
              </w:rPr>
              <w:t xml:space="preserve">на.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55E2" w:rsidRPr="00DB29B2" w:rsidRDefault="008255E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-Сургалтад хамрагдсан албан хаагчийн тоо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55E2" w:rsidRPr="00DB29B2" w:rsidRDefault="006842AF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5073" w:type="dxa"/>
            <w:tcBorders>
              <w:top w:val="single" w:sz="4" w:space="0" w:color="auto"/>
            </w:tcBorders>
          </w:tcPr>
          <w:p w:rsidR="008255E2" w:rsidRPr="00DB29B2" w:rsidRDefault="00FB0057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АТГ-аас зохион байгуулдаг авлигын эсрэг анхан шатны сургалтанд 3 албан хаагч, давтан сургалтад 5 албан хаагч хамруулав. </w:t>
            </w:r>
          </w:p>
        </w:tc>
      </w:tr>
      <w:tr w:rsidR="006842AF" w:rsidRPr="00DB29B2" w:rsidTr="00DB29B2">
        <w:trPr>
          <w:trHeight w:val="20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6842AF" w:rsidRPr="00DB29B2" w:rsidRDefault="006842AF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bottom"/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bCs/>
                <w:sz w:val="20"/>
                <w:szCs w:val="20"/>
                <w:lang w:val="mn-MN"/>
              </w:rPr>
              <w:t xml:space="preserve">2.3.Авлигын эсрэг сургалт, сурталчилгаа, соён гэгээрүүлэх үйл ажиллагааг өөрсдийн нөөц бололцоо, сургагч багшаар </w:t>
            </w:r>
            <w:r w:rsidR="0095546B" w:rsidRPr="00DB29B2">
              <w:rPr>
                <w:rFonts w:cs="Arial"/>
                <w:bCs/>
                <w:sz w:val="20"/>
                <w:szCs w:val="20"/>
                <w:lang w:val="mn-MN"/>
              </w:rPr>
              <w:t>дамжуулан ажилтнуудад хүргэх ажлыг</w:t>
            </w:r>
            <w:r w:rsidRPr="00DB29B2">
              <w:rPr>
                <w:rFonts w:cs="Arial"/>
                <w:bCs/>
                <w:sz w:val="20"/>
                <w:szCs w:val="20"/>
                <w:lang w:val="mn-MN"/>
              </w:rPr>
              <w:t xml:space="preserve"> зохион байг</w:t>
            </w:r>
            <w:r w:rsidR="0095546B" w:rsidRPr="00DB29B2">
              <w:rPr>
                <w:rFonts w:cs="Arial"/>
                <w:bCs/>
                <w:sz w:val="20"/>
                <w:szCs w:val="20"/>
                <w:lang w:val="mn-MN"/>
              </w:rPr>
              <w:t xml:space="preserve">уулж, үр дүн тооцож, тайлагнана. </w:t>
            </w:r>
          </w:p>
        </w:tc>
        <w:tc>
          <w:tcPr>
            <w:tcW w:w="2410" w:type="dxa"/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-Сургалт, соён гэгээрүү</w:t>
            </w:r>
            <w:r w:rsidR="00E2364D" w:rsidRPr="00DB29B2">
              <w:rPr>
                <w:rFonts w:cs="Arial"/>
                <w:sz w:val="20"/>
                <w:szCs w:val="20"/>
                <w:lang w:val="mn-MN"/>
              </w:rPr>
              <w:t xml:space="preserve">лэх ажлыг зохион байгуулсан байна. </w:t>
            </w:r>
          </w:p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842AF" w:rsidRPr="00DB29B2" w:rsidRDefault="006842AF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5073" w:type="dxa"/>
          </w:tcPr>
          <w:p w:rsidR="00AD45FE" w:rsidRPr="00DB29B2" w:rsidRDefault="00FB0057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Байгууллагын 16 албан хаагчдад авлигын эсрэг сургалтын 1 удаа зохион байгуулж албан хаагчдаас сургалтын үр дүнг баталгаажуулан Kahoo видео тоглоомын зарчмаар мэдлэгийг бататгасан.</w:t>
            </w:r>
          </w:p>
          <w:p w:rsidR="006842AF" w:rsidRPr="00DB29B2" w:rsidRDefault="00AD45FE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Ашиг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сонирхлын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зөрчилтэй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гэж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ойлгогдохуйц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нөхцөл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байдал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>”-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ыг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бий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болгосон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аливаа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үйлдэл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эс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үйлдэхүйг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санаатай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санамсаргүй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гаргахаас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урьдчилан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cs="Arial"/>
                <w:color w:val="000000"/>
                <w:sz w:val="20"/>
                <w:szCs w:val="20"/>
              </w:rPr>
              <w:t>сэргийлэх</w:t>
            </w:r>
            <w:proofErr w:type="spellEnd"/>
            <w:r w:rsidRPr="00DB29B2">
              <w:rPr>
                <w:rFonts w:cs="Arial"/>
                <w:color w:val="000000"/>
                <w:sz w:val="20"/>
                <w:szCs w:val="20"/>
                <w:lang w:val="mn-MN"/>
              </w:rPr>
              <w:t xml:space="preserve"> зөвлөмжийг албан хаагчиддаа өгсөн.</w:t>
            </w:r>
            <w:r w:rsidR="00FB0057" w:rsidRPr="00DB29B2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6842AF" w:rsidRPr="00DB29B2">
              <w:rPr>
                <w:rFonts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6842AF" w:rsidRPr="00DB29B2" w:rsidTr="00DB29B2">
        <w:trPr>
          <w:trHeight w:val="454"/>
        </w:trPr>
        <w:tc>
          <w:tcPr>
            <w:tcW w:w="633" w:type="dxa"/>
          </w:tcPr>
          <w:p w:rsidR="006842AF" w:rsidRPr="00DB29B2" w:rsidRDefault="006842AF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957" w:type="dxa"/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Авлигатай тэмцэх газраас бүрэн эрхийнхээ дагуу гаргасан шийдвэрийг </w:t>
            </w: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биелүүлэх, хариуг хугацаанд нь мэдэгдэх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3.1.Авлигатай тэмцэх газраас хүргүүлсэн зөвлөмж,</w:t>
            </w:r>
          </w:p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3.2.Мөрдөгчийн мэдэгдэл,</w:t>
            </w:r>
          </w:p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3.3.Зөрчил арилгуулах албан бичгийн хүрээнд холбог</w:t>
            </w:r>
            <w:r w:rsidR="00E2364D" w:rsidRPr="00DB29B2">
              <w:rPr>
                <w:rFonts w:cs="Arial"/>
                <w:sz w:val="20"/>
                <w:szCs w:val="20"/>
                <w:lang w:val="mn-MN"/>
              </w:rPr>
              <w:t xml:space="preserve">дох арга хэмжээ зохион байгуулна. </w:t>
            </w:r>
          </w:p>
        </w:tc>
        <w:tc>
          <w:tcPr>
            <w:tcW w:w="2410" w:type="dxa"/>
          </w:tcPr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-Арга хэмжээг хэрэгжүүл</w:t>
            </w:r>
            <w:r w:rsidR="00E2364D" w:rsidRPr="00DB29B2">
              <w:rPr>
                <w:rFonts w:cs="Arial"/>
                <w:sz w:val="20"/>
                <w:szCs w:val="20"/>
                <w:lang w:val="mn-MN"/>
              </w:rPr>
              <w:t xml:space="preserve">эн хариу тайланг хүргүүлсэн байна. </w:t>
            </w:r>
          </w:p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:rsidR="006842AF" w:rsidRPr="00DB29B2" w:rsidRDefault="006842AF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6842AF" w:rsidRPr="00DB29B2" w:rsidRDefault="00015972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Тухай бүр</w:t>
            </w:r>
          </w:p>
        </w:tc>
        <w:tc>
          <w:tcPr>
            <w:tcW w:w="5073" w:type="dxa"/>
          </w:tcPr>
          <w:p w:rsidR="00664702" w:rsidRPr="00DB29B2" w:rsidRDefault="0066470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Авлигатай тэмцэх газраасирүүлсэн зөвлөмж, мэдэгдэл байхгүй болно. </w:t>
            </w:r>
          </w:p>
          <w:p w:rsidR="00664702" w:rsidRPr="00DB29B2" w:rsidRDefault="0066470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Сарилга хариуцлага, дэг журмыг чангатгах тухай” улсын ерөнхий байцаагчийн</w:t>
            </w:r>
          </w:p>
          <w:p w:rsidR="006842AF" w:rsidRPr="00DB29B2" w:rsidRDefault="00664702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 xml:space="preserve">01/02 албан даалгаварын хүрээнд авлига ашиг сонирхолоос урьдчилан сэргийлэхээр өгөгдсөн 2 үүргийн биелэлтийг тайлант онд ханган ажиллав. </w:t>
            </w:r>
          </w:p>
        </w:tc>
      </w:tr>
      <w:tr w:rsidR="00AF30A4" w:rsidRPr="00DB29B2" w:rsidTr="00AF30A4">
        <w:trPr>
          <w:trHeight w:val="978"/>
        </w:trPr>
        <w:tc>
          <w:tcPr>
            <w:tcW w:w="633" w:type="dxa"/>
          </w:tcPr>
          <w:p w:rsidR="00AF30A4" w:rsidRPr="00DB29B2" w:rsidRDefault="00AF30A4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lastRenderedPageBreak/>
              <w:t>4</w:t>
            </w:r>
          </w:p>
        </w:tc>
        <w:tc>
          <w:tcPr>
            <w:tcW w:w="1957" w:type="dxa"/>
          </w:tcPr>
          <w:p w:rsidR="00AF30A4" w:rsidRPr="00DB29B2" w:rsidRDefault="00AF30A4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Авлигатай тэмцэх хүсэл эрмэлзэл, санаачилга өрнүүлэх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F30A4" w:rsidRPr="00DB29B2" w:rsidRDefault="00AF30A4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4.2.Байгууллага, хувийн хэвшлийн хооронд байгуулах аливаа гэрээ хэлэлцээрт авлигаас урьдчилан сэргийлэх асуудлыг тусган хэрэгжүүл</w:t>
            </w:r>
            <w:bookmarkStart w:id="0" w:name="_GoBack"/>
            <w:bookmarkEnd w:id="0"/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нэ.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30A4" w:rsidRPr="00DB29B2" w:rsidRDefault="00AF30A4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Хамтран ажиллах гэрээнд тусгасан байна.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0A4" w:rsidRPr="00DB29B2" w:rsidRDefault="00AF30A4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Тухай бүр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AF30A4" w:rsidRPr="00DB29B2" w:rsidRDefault="00AF30A4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eastAsia="Arial" w:cs="Arial"/>
                <w:sz w:val="20"/>
                <w:szCs w:val="20"/>
              </w:rPr>
              <w:t xml:space="preserve">2021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оны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худалдан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авах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ажиллагааны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төлөвлөөний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дагуу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tender.gov.mn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сайтад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шатах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тослох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материалын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цахим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тендер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зарлаж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Алхана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трейд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ХХК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шалгарсан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>.</w:t>
            </w:r>
            <w:r w:rsidRPr="00DB29B2">
              <w:rPr>
                <w:rFonts w:eastAsia="Arial" w:cs="Arial"/>
                <w:sz w:val="20"/>
                <w:szCs w:val="20"/>
                <w:lang w:val="mn-MN"/>
              </w:rPr>
              <w:t xml:space="preserve"> Худалдан авах ажиллагааг явуулахдаа авлигаас урьдчилан сэргийлэх зохилгоор ил тод байдлыг ханган ажилласан. </w:t>
            </w:r>
          </w:p>
        </w:tc>
      </w:tr>
      <w:tr w:rsidR="00675C8B" w:rsidRPr="00DB29B2" w:rsidTr="00DB29B2">
        <w:trPr>
          <w:trHeight w:val="1600"/>
        </w:trPr>
        <w:tc>
          <w:tcPr>
            <w:tcW w:w="633" w:type="dxa"/>
          </w:tcPr>
          <w:p w:rsidR="00675C8B" w:rsidRPr="00DB29B2" w:rsidRDefault="00675C8B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5</w:t>
            </w:r>
          </w:p>
          <w:p w:rsidR="00675C8B" w:rsidRPr="00DB29B2" w:rsidRDefault="00675C8B" w:rsidP="00DB29B2">
            <w:pPr>
              <w:spacing w:after="0" w:line="240" w:lineRule="auto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57" w:type="dxa"/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Авлига, ашиг сонирхлын зөрчил үүсгэх шалтгаан, нөхцөлийг арилгуулах арга хэмжээ авах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5.7. Ажилтнуудын сахилга хариуцлага, дэг журмыг сайжруулах чиглэлээр Мэргэжлийн хяналтын Улсын ерөнхий байцаагчийн албан даалгавар гаргаж хэрэгжилтийг хангуулна.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75C8B" w:rsidRPr="00DB29B2" w:rsidRDefault="00675C8B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Албан даалгаврын биелэлтийг хагас, бүтэн жилээр дүгнэж, цаашид авах арга хэмжээг тодорхойлно.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5C8B" w:rsidRPr="00DB29B2" w:rsidRDefault="00675C8B" w:rsidP="00DB29B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bCs/>
                <w:sz w:val="20"/>
                <w:szCs w:val="20"/>
              </w:rPr>
              <w:t xml:space="preserve">II-IV </w:t>
            </w:r>
            <w:r w:rsidRPr="00DB29B2">
              <w:rPr>
                <w:rFonts w:cs="Arial"/>
                <w:bCs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8F434C" w:rsidRPr="00DB29B2" w:rsidRDefault="008F434C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“Сарилга хариуцлага, дэг журмыг чангатгах тухай” улсын ерөнхий байцаагчийн</w:t>
            </w:r>
          </w:p>
          <w:p w:rsidR="00675C8B" w:rsidRPr="00DB29B2" w:rsidRDefault="008F434C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 xml:space="preserve">01/02 албан даалгаварын хэрэгжилтийг хангуулахаар 24 заалт бүхий төлөвлөгөө гарган хэрэгжилтийг хагас бүтэн жилээр МХЕГ-т гарган хүргүүлэв. Төлөвлөгөөний хэрэгжилт 100 хувь. </w:t>
            </w:r>
          </w:p>
        </w:tc>
      </w:tr>
      <w:tr w:rsidR="00F45123" w:rsidRPr="00DB29B2" w:rsidTr="00DB29B2">
        <w:trPr>
          <w:trHeight w:val="504"/>
        </w:trPr>
        <w:tc>
          <w:tcPr>
            <w:tcW w:w="633" w:type="dxa"/>
          </w:tcPr>
          <w:p w:rsidR="00F45123" w:rsidRPr="00DB29B2" w:rsidRDefault="00F45123" w:rsidP="00DB29B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F45123" w:rsidRPr="00DB29B2" w:rsidRDefault="00F45123" w:rsidP="00DB29B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DB29B2">
              <w:rPr>
                <w:rFonts w:cs="Arial"/>
                <w:sz w:val="20"/>
                <w:szCs w:val="20"/>
                <w:lang w:val="mn-MN"/>
              </w:rPr>
              <w:t>Байгууллагын үйл ажиллагааны ил тод, нээлттэй байдлыг сайжруулах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45123" w:rsidRPr="00DB29B2" w:rsidRDefault="00F45123" w:rsidP="00DB29B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DB29B2">
              <w:rPr>
                <w:rFonts w:ascii="Arial" w:hAnsi="Arial" w:cs="Arial"/>
                <w:sz w:val="20"/>
                <w:lang w:val="mn-MN"/>
              </w:rPr>
              <w:t>Авлигын эсрэг хуулийн 6 дугаар зүйлийн 6.1.4;</w:t>
            </w:r>
          </w:p>
          <w:p w:rsidR="00F45123" w:rsidRPr="00DB29B2" w:rsidRDefault="00F45123" w:rsidP="00DB29B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DB29B2">
              <w:rPr>
                <w:rFonts w:ascii="Arial" w:hAnsi="Arial" w:cs="Arial"/>
                <w:sz w:val="20"/>
                <w:lang w:val="mn-MN"/>
              </w:rPr>
              <w:t>Шилэн дансны тухай хуулийн 6 дугаар зүйлийн 6.1, 6.4</w:t>
            </w:r>
            <w:r w:rsidR="004C31B5" w:rsidRPr="00DB29B2">
              <w:rPr>
                <w:rFonts w:ascii="Arial" w:hAnsi="Arial" w:cs="Arial"/>
                <w:sz w:val="20"/>
              </w:rPr>
              <w:t>;</w:t>
            </w:r>
          </w:p>
          <w:p w:rsidR="00F45123" w:rsidRPr="00DB29B2" w:rsidRDefault="00F45123" w:rsidP="00DB29B2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mn-MN"/>
              </w:rPr>
            </w:pPr>
            <w:r w:rsidRPr="00DB29B2">
              <w:rPr>
                <w:rFonts w:ascii="Arial" w:hAnsi="Arial" w:cs="Arial"/>
                <w:sz w:val="20"/>
                <w:lang w:val="mn-MN"/>
              </w:rPr>
              <w:t>Мэдээллийн ил тод байдал ба мэдээлэл авах эрхийн тухай хуулийн 7 дугаар зүйлийн 7.1.9-д заасан арга хэмжээг заасан хугацаанд албан ёсны цахим хуудас дээрээ байршуулж, иргэд олон нийт үзэж танилцах боломжоор ха</w:t>
            </w:r>
            <w:r w:rsidR="00F41B7B" w:rsidRPr="00DB29B2">
              <w:rPr>
                <w:rFonts w:ascii="Arial" w:hAnsi="Arial" w:cs="Arial"/>
                <w:sz w:val="20"/>
                <w:lang w:val="mn-MN"/>
              </w:rPr>
              <w:t xml:space="preserve">нгана.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5123" w:rsidRPr="00DB29B2" w:rsidRDefault="00F45123" w:rsidP="00DB29B2">
            <w:pPr>
              <w:spacing w:after="0" w:line="240" w:lineRule="auto"/>
              <w:jc w:val="both"/>
              <w:rPr>
                <w:rFonts w:eastAsiaTheme="minorEastAsia" w:cs="Arial"/>
                <w:sz w:val="20"/>
                <w:szCs w:val="20"/>
                <w:lang w:val="mn-MN" w:eastAsia="zh-CN"/>
              </w:rPr>
            </w:pPr>
            <w:r w:rsidRPr="00DB29B2">
              <w:rPr>
                <w:rFonts w:eastAsiaTheme="minorEastAsia" w:cs="Arial"/>
                <w:sz w:val="20"/>
                <w:szCs w:val="20"/>
                <w:lang w:val="mn-MN" w:eastAsia="zh-CN"/>
              </w:rPr>
              <w:t>-Хуулийн хэрэгжилтийг хангуулж, иргэдэд ойлгомжтой хүртээмжтэй байдлаар хүргэхэд анхаарсан байх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5123" w:rsidRPr="00DB29B2" w:rsidRDefault="001E7294" w:rsidP="00DB29B2">
            <w:pPr>
              <w:spacing w:after="0" w:line="240" w:lineRule="auto"/>
              <w:jc w:val="center"/>
              <w:rPr>
                <w:rFonts w:eastAsiaTheme="minorEastAsia" w:cs="Arial"/>
                <w:sz w:val="20"/>
                <w:szCs w:val="20"/>
                <w:lang w:val="mn-MN" w:eastAsia="zh-CN"/>
              </w:rPr>
            </w:pPr>
            <w:r w:rsidRPr="00DB29B2">
              <w:rPr>
                <w:rFonts w:cs="Arial"/>
                <w:bCs/>
                <w:sz w:val="20"/>
                <w:szCs w:val="20"/>
              </w:rPr>
              <w:t xml:space="preserve">I-IV </w:t>
            </w:r>
            <w:r w:rsidRPr="00DB29B2">
              <w:rPr>
                <w:rFonts w:cs="Arial"/>
                <w:bCs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5073" w:type="dxa"/>
            <w:tcBorders>
              <w:left w:val="single" w:sz="4" w:space="0" w:color="auto"/>
            </w:tcBorders>
          </w:tcPr>
          <w:p w:rsidR="008F434C" w:rsidRPr="00DB29B2" w:rsidRDefault="008F434C" w:rsidP="00DB29B2">
            <w:pPr>
              <w:spacing w:after="6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Шилэн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дансанд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тухай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бүрт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нь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8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төрлийн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мэдээлэл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байршуулахаас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12-р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сарын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байдлаар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96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төрлийн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мэдээллийг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хавсралт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файлыг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хавсарган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хуулийн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хугацаанд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>.</w:t>
            </w:r>
          </w:p>
          <w:p w:rsidR="008F434C" w:rsidRPr="00DB29B2" w:rsidRDefault="008F434C" w:rsidP="00DB29B2">
            <w:pPr>
              <w:spacing w:after="6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Шилэн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дансанд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3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төрлийн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байршуулахаас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12-р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сарын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байдлаар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36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төрлийн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мэдээллийг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хавсралт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файлыг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хавсарган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хуулийн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хугацаанд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>.</w:t>
            </w:r>
          </w:p>
          <w:p w:rsidR="008F434C" w:rsidRPr="00DB29B2" w:rsidRDefault="008F434C" w:rsidP="00DB29B2">
            <w:pPr>
              <w:spacing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Шилэн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дансанд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улирал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1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төрлийн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байршуулахаас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12-р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сарын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байдлаар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4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мэдээллийг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хуулийн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хугацаанд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. </w:t>
            </w:r>
          </w:p>
          <w:p w:rsidR="008F434C" w:rsidRPr="00DB29B2" w:rsidRDefault="008F434C" w:rsidP="00DB29B2">
            <w:pPr>
              <w:spacing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Бүтэн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жилээр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оруулах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11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мэдээлэл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байгаагаас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хугацаа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нь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болж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нээгдсэн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9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мэдээллийг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оруулсан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>.</w:t>
            </w:r>
          </w:p>
          <w:p w:rsidR="008F434C" w:rsidRPr="00DB29B2" w:rsidRDefault="008F434C" w:rsidP="00DB29B2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DB29B2">
              <w:rPr>
                <w:rFonts w:eastAsia="Arial" w:cs="Arial"/>
                <w:sz w:val="20"/>
                <w:szCs w:val="20"/>
              </w:rPr>
              <w:t xml:space="preserve">2021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оны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худалдан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авах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ажиллагааны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төлөвлөөний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дагуу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tender.gov.mn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сайтад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шатах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тослох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материалын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цахим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тендер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зарлаж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холбогдох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материалыг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бүрдүүлэн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байршуулсан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Цахим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тендерийн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үр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дүнд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Алхана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трейд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ХХК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шалгарсан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Pr="00DB29B2">
              <w:rPr>
                <w:rFonts w:eastAsia="Arial" w:cs="Arial"/>
                <w:sz w:val="20"/>
                <w:szCs w:val="20"/>
              </w:rPr>
              <w:t>байна</w:t>
            </w:r>
            <w:proofErr w:type="spellEnd"/>
            <w:r w:rsidRPr="00DB29B2">
              <w:rPr>
                <w:rFonts w:eastAsia="Arial" w:cs="Arial"/>
                <w:sz w:val="20"/>
                <w:szCs w:val="20"/>
              </w:rPr>
              <w:t>.</w:t>
            </w:r>
          </w:p>
          <w:p w:rsidR="008F434C" w:rsidRPr="00DB29B2" w:rsidRDefault="00AF30A4" w:rsidP="00DB29B2">
            <w:pPr>
              <w:spacing w:after="0" w:line="240" w:lineRule="auto"/>
              <w:jc w:val="both"/>
              <w:rPr>
                <w:rFonts w:eastAsiaTheme="minorEastAsia" w:cs="Arial"/>
                <w:sz w:val="20"/>
                <w:szCs w:val="20"/>
                <w:lang w:val="mn-MN" w:eastAsia="zh-CN"/>
              </w:rPr>
            </w:pPr>
            <w:hyperlink r:id="rId5">
              <w:r w:rsidR="008F434C" w:rsidRPr="00DB29B2">
                <w:rPr>
                  <w:rFonts w:eastAsia="Arial" w:cs="Arial"/>
                  <w:color w:val="000000"/>
                  <w:sz w:val="20"/>
                  <w:szCs w:val="20"/>
                  <w:u w:val="single"/>
                </w:rPr>
                <w:t>http://inspection.gov.mn/new/govisumber/</w:t>
              </w:r>
            </w:hyperlink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цахим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хуудас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болон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самбарт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ил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тод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байдлыг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ханган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мэдээлэл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авах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эрхийн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тухай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хуулийг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хэрэгжүүлэн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ажиллаж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байна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.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Байгууллагын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цахим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хуудас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болон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lastRenderedPageBreak/>
              <w:t>мэдээллийн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5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самбарт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Хүний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нөөц,-13,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үйл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ажиллагаа-36,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санхүү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,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худалдан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авах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ажиллагаа-11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нийт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60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мэдээлэл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тус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тус</w:t>
            </w:r>
            <w:proofErr w:type="spellEnd"/>
            <w:r w:rsidR="008F434C" w:rsidRPr="00DB29B2">
              <w:rPr>
                <w:rFonts w:eastAsia="Arial" w:cs="Arial"/>
                <w:sz w:val="20"/>
                <w:szCs w:val="20"/>
              </w:rPr>
              <w:t xml:space="preserve"> </w:t>
            </w:r>
            <w:proofErr w:type="spellStart"/>
            <w:r w:rsidR="008F434C" w:rsidRPr="00DB29B2">
              <w:rPr>
                <w:rFonts w:eastAsia="Arial" w:cs="Arial"/>
                <w:sz w:val="20"/>
                <w:szCs w:val="20"/>
              </w:rPr>
              <w:t>байршуулав</w:t>
            </w:r>
            <w:proofErr w:type="spellEnd"/>
          </w:p>
        </w:tc>
      </w:tr>
    </w:tbl>
    <w:p w:rsidR="00995BA8" w:rsidRPr="00DB29B2" w:rsidRDefault="00995BA8" w:rsidP="00DB29B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:rsidR="00DD7053" w:rsidRPr="00DB29B2" w:rsidRDefault="00DD7053" w:rsidP="00DB29B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:rsidR="00995BA8" w:rsidRPr="00DB29B2" w:rsidRDefault="00995BA8" w:rsidP="00DB29B2">
      <w:pPr>
        <w:spacing w:after="0" w:line="240" w:lineRule="auto"/>
        <w:rPr>
          <w:rFonts w:cs="Arial"/>
          <w:sz w:val="20"/>
          <w:szCs w:val="20"/>
          <w:lang w:val="mn-MN"/>
        </w:rPr>
      </w:pPr>
    </w:p>
    <w:p w:rsidR="00BC2FB5" w:rsidRPr="00DB29B2" w:rsidRDefault="00DD7053" w:rsidP="00DB29B2">
      <w:pPr>
        <w:spacing w:after="0" w:line="240" w:lineRule="auto"/>
        <w:jc w:val="center"/>
        <w:rPr>
          <w:rFonts w:cs="Arial"/>
          <w:sz w:val="20"/>
          <w:szCs w:val="20"/>
          <w:lang w:val="mn-MN"/>
        </w:rPr>
      </w:pPr>
      <w:r w:rsidRPr="00DB29B2">
        <w:rPr>
          <w:rFonts w:eastAsia="SimSun" w:cs="Arial"/>
          <w:sz w:val="20"/>
          <w:szCs w:val="20"/>
          <w:lang w:val="mn-MN"/>
        </w:rPr>
        <w:t>-ооОоо-</w:t>
      </w:r>
    </w:p>
    <w:p w:rsidR="00BC2FB5" w:rsidRPr="00DB29B2" w:rsidRDefault="00BC2FB5" w:rsidP="00DB29B2">
      <w:pPr>
        <w:spacing w:after="0" w:line="240" w:lineRule="auto"/>
        <w:ind w:left="5760"/>
        <w:jc w:val="center"/>
        <w:rPr>
          <w:rFonts w:cs="Arial"/>
          <w:sz w:val="20"/>
          <w:szCs w:val="20"/>
          <w:lang w:val="mn-MN"/>
        </w:rPr>
      </w:pPr>
    </w:p>
    <w:sectPr w:rsidR="00BC2FB5" w:rsidRPr="00DB29B2" w:rsidSect="00371255">
      <w:pgSz w:w="16840" w:h="11907" w:orient="landscape" w:code="9"/>
      <w:pgMar w:top="1134" w:right="68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6C1"/>
    <w:multiLevelType w:val="hybridMultilevel"/>
    <w:tmpl w:val="635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21615"/>
    <w:multiLevelType w:val="hybridMultilevel"/>
    <w:tmpl w:val="B08C9B8C"/>
    <w:lvl w:ilvl="0" w:tplc="436C142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8"/>
    <w:rsid w:val="00015972"/>
    <w:rsid w:val="000B1D24"/>
    <w:rsid w:val="000F489F"/>
    <w:rsid w:val="00152463"/>
    <w:rsid w:val="00160684"/>
    <w:rsid w:val="001E7294"/>
    <w:rsid w:val="002B17E7"/>
    <w:rsid w:val="002D5681"/>
    <w:rsid w:val="00371255"/>
    <w:rsid w:val="004C31B5"/>
    <w:rsid w:val="004D5BE9"/>
    <w:rsid w:val="004D7372"/>
    <w:rsid w:val="004E7145"/>
    <w:rsid w:val="0050734F"/>
    <w:rsid w:val="005276DC"/>
    <w:rsid w:val="005F6631"/>
    <w:rsid w:val="00664702"/>
    <w:rsid w:val="00675C8B"/>
    <w:rsid w:val="006842AF"/>
    <w:rsid w:val="006A3B3E"/>
    <w:rsid w:val="007A5201"/>
    <w:rsid w:val="007B4FFB"/>
    <w:rsid w:val="007F6DFD"/>
    <w:rsid w:val="008255E2"/>
    <w:rsid w:val="0089399E"/>
    <w:rsid w:val="008A3A1A"/>
    <w:rsid w:val="008F434C"/>
    <w:rsid w:val="00952C34"/>
    <w:rsid w:val="0095546B"/>
    <w:rsid w:val="00977835"/>
    <w:rsid w:val="00995BA8"/>
    <w:rsid w:val="009E4146"/>
    <w:rsid w:val="00A41393"/>
    <w:rsid w:val="00AB5393"/>
    <w:rsid w:val="00AD45FE"/>
    <w:rsid w:val="00AF30A4"/>
    <w:rsid w:val="00BC2FB5"/>
    <w:rsid w:val="00BD5E05"/>
    <w:rsid w:val="00CC6ECC"/>
    <w:rsid w:val="00D0574E"/>
    <w:rsid w:val="00DB29B2"/>
    <w:rsid w:val="00DD7053"/>
    <w:rsid w:val="00DE0090"/>
    <w:rsid w:val="00E2364D"/>
    <w:rsid w:val="00E27F70"/>
    <w:rsid w:val="00E8074C"/>
    <w:rsid w:val="00F37E7F"/>
    <w:rsid w:val="00F41B7B"/>
    <w:rsid w:val="00F45123"/>
    <w:rsid w:val="00F45B2A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0D10F-6362-42C9-8178-28B2675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A8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A8"/>
    <w:pPr>
      <w:ind w:left="720"/>
      <w:contextualSpacing/>
    </w:pPr>
  </w:style>
  <w:style w:type="paragraph" w:styleId="BodyText">
    <w:name w:val="Body Text"/>
    <w:basedOn w:val="Normal"/>
    <w:link w:val="BodyTextChar"/>
    <w:rsid w:val="00995BA8"/>
    <w:pPr>
      <w:spacing w:after="0" w:line="240" w:lineRule="auto"/>
      <w:jc w:val="both"/>
    </w:pPr>
    <w:rPr>
      <w:rFonts w:ascii="Arial Mon" w:eastAsia="Times New Roman" w:hAnsi="Arial Mo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95BA8"/>
    <w:rPr>
      <w:rFonts w:ascii="Arial Mon" w:eastAsia="Times New Roman" w:hAnsi="Arial Mon" w:cs="Times New Roman"/>
      <w:szCs w:val="20"/>
      <w:lang w:eastAsia="en-US"/>
    </w:rPr>
  </w:style>
  <w:style w:type="paragraph" w:styleId="NoSpacing">
    <w:name w:val="No Spacing"/>
    <w:uiPriority w:val="1"/>
    <w:qFormat/>
    <w:rsid w:val="00995BA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en-US"/>
    </w:rPr>
  </w:style>
  <w:style w:type="character" w:styleId="Emphasis">
    <w:name w:val="Emphasis"/>
    <w:uiPriority w:val="20"/>
    <w:qFormat/>
    <w:rsid w:val="00995BA8"/>
    <w:rPr>
      <w:i/>
      <w:iCs/>
    </w:rPr>
  </w:style>
  <w:style w:type="table" w:styleId="TableGrid">
    <w:name w:val="Table Grid"/>
    <w:basedOn w:val="TableNormal"/>
    <w:uiPriority w:val="39"/>
    <w:rsid w:val="00995BA8"/>
    <w:pPr>
      <w:spacing w:after="0" w:line="240" w:lineRule="auto"/>
    </w:pPr>
    <w:rPr>
      <w:rFonts w:ascii="Arial" w:eastAsiaTheme="minorHAns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B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pection.gov.mn/new/govisu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Surenjav Bataa</dc:creator>
  <cp:keywords/>
  <dc:description/>
  <cp:lastModifiedBy>Tamiraa</cp:lastModifiedBy>
  <cp:revision>7</cp:revision>
  <cp:lastPrinted>2021-06-23T06:18:00Z</cp:lastPrinted>
  <dcterms:created xsi:type="dcterms:W3CDTF">2021-06-23T06:28:00Z</dcterms:created>
  <dcterms:modified xsi:type="dcterms:W3CDTF">2021-12-08T03:24:00Z</dcterms:modified>
</cp:coreProperties>
</file>